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09" w:rsidRDefault="0027591D" w:rsidP="00854E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RBC </w:t>
      </w:r>
      <w:r w:rsidR="00854E09" w:rsidRPr="0027591D">
        <w:rPr>
          <w:b/>
          <w:sz w:val="28"/>
          <w:szCs w:val="28"/>
        </w:rPr>
        <w:t xml:space="preserve">Evaluation </w:t>
      </w:r>
    </w:p>
    <w:p w:rsidR="006C69A9" w:rsidRPr="0027591D" w:rsidRDefault="006C69A9" w:rsidP="00854E09">
      <w:pPr>
        <w:jc w:val="center"/>
        <w:rPr>
          <w:b/>
          <w:sz w:val="28"/>
          <w:szCs w:val="28"/>
        </w:rPr>
      </w:pPr>
    </w:p>
    <w:p w:rsidR="00854E09" w:rsidRPr="00414E77" w:rsidRDefault="00854E09" w:rsidP="00854E09">
      <w:pPr>
        <w:rPr>
          <w:rFonts w:ascii="Calibri" w:eastAsia="Times New Roman" w:hAnsi="Calibri" w:cs="Arial"/>
          <w:b/>
          <w:bCs/>
        </w:rPr>
      </w:pPr>
      <w:r w:rsidRPr="008A22F9">
        <w:rPr>
          <w:rFonts w:ascii="Calibri" w:eastAsia="Times New Roman" w:hAnsi="Calibri" w:cs="Arial"/>
          <w:b/>
          <w:bCs/>
        </w:rPr>
        <w:t xml:space="preserve">Analysis:  </w:t>
      </w:r>
      <w:r w:rsidR="00414E77">
        <w:rPr>
          <w:rFonts w:ascii="Calibri" w:eastAsia="Times New Roman" w:hAnsi="Calibri" w:cs="Arial"/>
        </w:rPr>
        <w:t>v</w:t>
      </w:r>
      <w:r w:rsidRPr="008A22F9">
        <w:rPr>
          <w:rFonts w:ascii="Calibri" w:eastAsia="Times New Roman" w:hAnsi="Calibri" w:cs="Arial"/>
        </w:rPr>
        <w:t>ariables</w:t>
      </w:r>
      <w:r w:rsidR="00414E77">
        <w:rPr>
          <w:rFonts w:ascii="Calibri" w:eastAsia="Times New Roman" w:hAnsi="Calibri" w:cs="Arial"/>
        </w:rPr>
        <w:t>, o</w:t>
      </w:r>
      <w:r w:rsidRPr="008A22F9">
        <w:rPr>
          <w:rFonts w:ascii="Calibri" w:eastAsia="Times New Roman" w:hAnsi="Calibri" w:cs="Arial"/>
        </w:rPr>
        <w:t>bjective function</w:t>
      </w:r>
      <w:r w:rsidR="00414E77">
        <w:rPr>
          <w:rFonts w:ascii="Calibri" w:eastAsia="Times New Roman" w:hAnsi="Calibri" w:cs="Arial"/>
        </w:rPr>
        <w:t>, c</w:t>
      </w:r>
      <w:r w:rsidRPr="008A22F9">
        <w:rPr>
          <w:rFonts w:ascii="Calibri" w:eastAsia="Times New Roman" w:hAnsi="Calibri" w:cs="Arial"/>
        </w:rPr>
        <w:t>onstraints</w:t>
      </w:r>
      <w:r w:rsidR="00414E77">
        <w:rPr>
          <w:rFonts w:ascii="Calibri" w:eastAsia="Times New Roman" w:hAnsi="Calibri" w:cs="Arial"/>
        </w:rPr>
        <w:t>, s</w:t>
      </w:r>
      <w:r w:rsidRPr="008A22F9">
        <w:rPr>
          <w:rFonts w:ascii="Calibri" w:eastAsia="Times New Roman" w:hAnsi="Calibri" w:cs="Arial"/>
        </w:rPr>
        <w:t>olution</w:t>
      </w:r>
    </w:p>
    <w:p w:rsidR="00854E09" w:rsidRDefault="00854E09" w:rsidP="00854E09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854E09" w:rsidRPr="008A22F9" w:rsidRDefault="00854E09" w:rsidP="008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Additional t</w:t>
      </w:r>
      <w:r w:rsidRPr="008A22F9">
        <w:rPr>
          <w:rFonts w:ascii="Arial" w:eastAsia="Times New Roman" w:hAnsi="Arial" w:cs="Arial"/>
          <w:b/>
          <w:bCs/>
          <w:sz w:val="20"/>
          <w:szCs w:val="20"/>
        </w:rPr>
        <w:t>omatoes</w:t>
      </w:r>
      <w:r w:rsidR="00414E77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="00414E77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roblem f</w:t>
      </w:r>
      <w:r w:rsidRPr="008A22F9">
        <w:rPr>
          <w:rFonts w:ascii="Arial" w:eastAsia="Times New Roman" w:hAnsi="Arial" w:cs="Arial"/>
          <w:sz w:val="20"/>
          <w:szCs w:val="20"/>
        </w:rPr>
        <w:t>ormulation</w:t>
      </w:r>
      <w:r w:rsidR="00414E77">
        <w:rPr>
          <w:rFonts w:ascii="Arial" w:eastAsia="Times New Roman" w:hAnsi="Arial" w:cs="Arial"/>
          <w:sz w:val="20"/>
          <w:szCs w:val="20"/>
        </w:rPr>
        <w:t xml:space="preserve"> and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8A22F9">
        <w:rPr>
          <w:rFonts w:ascii="Arial" w:eastAsia="Times New Roman" w:hAnsi="Arial" w:cs="Arial"/>
          <w:sz w:val="20"/>
          <w:szCs w:val="20"/>
        </w:rPr>
        <w:t>nterpretation</w:t>
      </w:r>
    </w:p>
    <w:p w:rsidR="00854E09" w:rsidRDefault="00854E09" w:rsidP="00854E09">
      <w:pPr>
        <w:rPr>
          <w:rFonts w:ascii="Arial" w:eastAsia="Times New Roman" w:hAnsi="Arial" w:cs="Arial"/>
          <w:b/>
          <w:sz w:val="20"/>
          <w:szCs w:val="20"/>
        </w:rPr>
      </w:pPr>
    </w:p>
    <w:p w:rsidR="00854E09" w:rsidRDefault="00854E09" w:rsidP="00854E09">
      <w:pPr>
        <w:rPr>
          <w:rFonts w:ascii="Arial" w:eastAsia="Times New Roman" w:hAnsi="Arial" w:cs="Arial"/>
          <w:bCs/>
          <w:sz w:val="20"/>
          <w:szCs w:val="20"/>
        </w:rPr>
      </w:pPr>
      <w:r w:rsidRPr="008A22F9">
        <w:rPr>
          <w:rFonts w:ascii="Arial" w:eastAsia="Times New Roman" w:hAnsi="Arial" w:cs="Arial"/>
          <w:b/>
          <w:sz w:val="20"/>
          <w:szCs w:val="20"/>
        </w:rPr>
        <w:t>Other sensitivity analysis</w:t>
      </w:r>
      <w:r w:rsidR="00414E77">
        <w:rPr>
          <w:rFonts w:ascii="Arial" w:eastAsia="Times New Roman" w:hAnsi="Arial" w:cs="Arial"/>
          <w:b/>
          <w:sz w:val="20"/>
          <w:szCs w:val="20"/>
        </w:rPr>
        <w:t>:  s</w:t>
      </w:r>
      <w:r>
        <w:rPr>
          <w:rFonts w:ascii="Arial" w:eastAsia="Times New Roman" w:hAnsi="Arial" w:cs="Arial"/>
          <w:bCs/>
          <w:sz w:val="20"/>
          <w:szCs w:val="20"/>
        </w:rPr>
        <w:t>hould you advertise to increas</w:t>
      </w:r>
      <w:r w:rsidR="0027591D">
        <w:rPr>
          <w:rFonts w:ascii="Arial" w:eastAsia="Times New Roman" w:hAnsi="Arial" w:cs="Arial"/>
          <w:bCs/>
          <w:sz w:val="20"/>
          <w:szCs w:val="20"/>
        </w:rPr>
        <w:t>e</w:t>
      </w:r>
      <w:r>
        <w:rPr>
          <w:rFonts w:ascii="Arial" w:eastAsia="Times New Roman" w:hAnsi="Arial" w:cs="Arial"/>
          <w:bCs/>
          <w:sz w:val="20"/>
          <w:szCs w:val="20"/>
        </w:rPr>
        <w:t xml:space="preserve"> demand etc.</w:t>
      </w:r>
    </w:p>
    <w:p w:rsidR="00854E09" w:rsidRPr="00854E09" w:rsidRDefault="00854E09" w:rsidP="00854E09">
      <w:pPr>
        <w:rPr>
          <w:rFonts w:ascii="Arial" w:eastAsia="Times New Roman" w:hAnsi="Arial" w:cs="Arial"/>
          <w:bCs/>
          <w:sz w:val="20"/>
          <w:szCs w:val="20"/>
        </w:rPr>
      </w:pPr>
    </w:p>
    <w:p w:rsidR="00854E09" w:rsidRDefault="00854E09" w:rsidP="00854E09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8A22F9">
        <w:rPr>
          <w:rFonts w:ascii="Arial" w:eastAsia="Times New Roman" w:hAnsi="Arial" w:cs="Arial"/>
          <w:b/>
          <w:bCs/>
          <w:sz w:val="20"/>
          <w:szCs w:val="20"/>
        </w:rPr>
        <w:t>P</w:t>
      </w:r>
      <w:r>
        <w:rPr>
          <w:rFonts w:ascii="Arial" w:eastAsia="Times New Roman" w:hAnsi="Arial" w:cs="Arial"/>
          <w:b/>
          <w:bCs/>
          <w:sz w:val="20"/>
          <w:szCs w:val="20"/>
        </w:rPr>
        <w:t>aper</w:t>
      </w:r>
    </w:p>
    <w:p w:rsidR="00DB1D14" w:rsidRPr="008A22F9" w:rsidRDefault="00CE248C" w:rsidP="00DB1D1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DB1D14">
        <w:rPr>
          <w:rFonts w:ascii="Arial" w:eastAsia="Times New Roman" w:hAnsi="Arial" w:cs="Arial"/>
          <w:sz w:val="20"/>
          <w:szCs w:val="20"/>
        </w:rPr>
        <w:t xml:space="preserve">lear and professional </w:t>
      </w:r>
      <w:r>
        <w:rPr>
          <w:rFonts w:ascii="Arial" w:eastAsia="Times New Roman" w:hAnsi="Arial" w:cs="Arial"/>
          <w:sz w:val="20"/>
          <w:szCs w:val="20"/>
        </w:rPr>
        <w:t>writing</w:t>
      </w:r>
    </w:p>
    <w:p w:rsidR="00DB1D14" w:rsidRPr="00DB1D14" w:rsidRDefault="00CE248C" w:rsidP="008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Correct </w:t>
      </w:r>
      <w:r w:rsidR="00DB1D14">
        <w:rPr>
          <w:rFonts w:ascii="Arial" w:eastAsia="Times New Roman" w:hAnsi="Arial" w:cs="Arial"/>
          <w:sz w:val="20"/>
          <w:szCs w:val="20"/>
        </w:rPr>
        <w:t>spelling and grammar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B1D14" w:rsidRPr="008A22F9" w:rsidRDefault="00DB1D14" w:rsidP="008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 you say enough about the problem to put it in context?</w:t>
      </w:r>
    </w:p>
    <w:p w:rsidR="0027591D" w:rsidRPr="008A22F9" w:rsidRDefault="00854E09" w:rsidP="00854E09">
      <w:pPr>
        <w:rPr>
          <w:rFonts w:ascii="Arial" w:eastAsia="Times New Roman" w:hAnsi="Arial" w:cs="Arial"/>
          <w:sz w:val="20"/>
          <w:szCs w:val="20"/>
        </w:rPr>
      </w:pPr>
      <w:r w:rsidRPr="008A22F9">
        <w:rPr>
          <w:rFonts w:ascii="Arial" w:eastAsia="Times New Roman" w:hAnsi="Arial" w:cs="Arial"/>
          <w:sz w:val="20"/>
          <w:szCs w:val="20"/>
        </w:rPr>
        <w:t>Does the recommendation stand out or do I have to dig to find what you propose?</w:t>
      </w:r>
    </w:p>
    <w:p w:rsidR="00854E09" w:rsidRPr="008A22F9" w:rsidRDefault="00854E09" w:rsidP="00854E09">
      <w:pPr>
        <w:rPr>
          <w:rFonts w:ascii="Arial" w:eastAsia="Times New Roman" w:hAnsi="Arial" w:cs="Arial"/>
          <w:sz w:val="20"/>
          <w:szCs w:val="20"/>
        </w:rPr>
      </w:pPr>
      <w:r w:rsidRPr="008A22F9">
        <w:rPr>
          <w:rFonts w:ascii="Arial" w:eastAsia="Times New Roman" w:hAnsi="Arial" w:cs="Arial"/>
          <w:sz w:val="20"/>
          <w:szCs w:val="20"/>
        </w:rPr>
        <w:t>Can I understand how you derived your model?</w:t>
      </w:r>
      <w:r w:rsidR="00DB1D14">
        <w:rPr>
          <w:rFonts w:ascii="Arial" w:eastAsia="Times New Roman" w:hAnsi="Arial" w:cs="Arial"/>
          <w:sz w:val="20"/>
          <w:szCs w:val="20"/>
        </w:rPr>
        <w:t xml:space="preserve"> For example, the quality constraints are not obvious.</w:t>
      </w:r>
    </w:p>
    <w:p w:rsidR="00854E09" w:rsidRPr="008A22F9" w:rsidRDefault="00854E09" w:rsidP="00854E09">
      <w:pPr>
        <w:rPr>
          <w:rFonts w:ascii="Arial" w:eastAsia="Times New Roman" w:hAnsi="Arial" w:cs="Arial"/>
          <w:sz w:val="20"/>
          <w:szCs w:val="20"/>
        </w:rPr>
      </w:pPr>
      <w:r w:rsidRPr="008A22F9">
        <w:rPr>
          <w:rFonts w:ascii="Arial" w:eastAsia="Times New Roman" w:hAnsi="Arial" w:cs="Arial"/>
          <w:sz w:val="20"/>
          <w:szCs w:val="20"/>
        </w:rPr>
        <w:t>Is it clear why the Cooper and Myers solutions aren't optimal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9B646C" w:rsidRDefault="009B646C" w:rsidP="009B646C">
      <w:r>
        <w:t>Thoughts: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>Keep in mind you are talking to busy people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>Put your recommendation first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>More tables/lists/less prose</w:t>
      </w:r>
    </w:p>
    <w:p w:rsidR="0027591D" w:rsidRDefault="0027591D" w:rsidP="009B646C">
      <w:pPr>
        <w:pStyle w:val="ListParagraph"/>
        <w:numPr>
          <w:ilvl w:val="0"/>
          <w:numId w:val="2"/>
        </w:numPr>
      </w:pPr>
      <w:r>
        <w:t>Include tables from original statement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>Single space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>More direct writing: I recommend xyz because...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 xml:space="preserve">Transitions </w:t>
      </w:r>
      <w:r w:rsidR="00B230B9">
        <w:t xml:space="preserve">OK </w:t>
      </w:r>
      <w:r>
        <w:t>in normal prose</w:t>
      </w:r>
      <w:r w:rsidR="00B230B9">
        <w:t xml:space="preserve"> but can be axed here</w:t>
      </w:r>
      <w:r>
        <w:t>.  “On a further note”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 xml:space="preserve">Most of you had trouble just ending it without a concluding paragraph. 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>Passive:  “From Exhibit A it was determined that” -&gt;</w:t>
      </w:r>
      <w:r w:rsidR="00B230B9">
        <w:t>”</w:t>
      </w:r>
      <w:r>
        <w:t xml:space="preserve"> Exhibit A shows that</w:t>
      </w:r>
      <w:r w:rsidR="00B230B9">
        <w:t>”</w:t>
      </w:r>
    </w:p>
    <w:p w:rsidR="009B646C" w:rsidRDefault="009B646C" w:rsidP="009B646C">
      <w:pPr>
        <w:pStyle w:val="ListParagraph"/>
        <w:numPr>
          <w:ilvl w:val="0"/>
          <w:numId w:val="2"/>
        </w:numPr>
      </w:pPr>
      <w:r>
        <w:t>Explain the analysis and results</w:t>
      </w:r>
      <w:r w:rsidR="00B230B9">
        <w:t xml:space="preserve"> so that someone can check out the model</w:t>
      </w:r>
      <w:r>
        <w:t xml:space="preserve"> but not </w:t>
      </w:r>
      <w:r w:rsidR="00B230B9">
        <w:t xml:space="preserve">intermediate steps in </w:t>
      </w:r>
      <w:r>
        <w:t>how you arrived at them. E.g. list the variables and what they mean, not that you considered X1, X2, X</w:t>
      </w:r>
      <w:r w:rsidR="00B230B9">
        <w:t>3</w:t>
      </w:r>
      <w:r>
        <w:t xml:space="preserve"> but realized you needed </w:t>
      </w:r>
      <w:r w:rsidR="00B230B9">
        <w:t>more</w:t>
      </w:r>
    </w:p>
    <w:p w:rsidR="00854E09" w:rsidRDefault="00854E09" w:rsidP="00854E09">
      <w:pPr>
        <w:rPr>
          <w:rFonts w:ascii="Arial" w:eastAsia="Times New Roman" w:hAnsi="Arial" w:cs="Arial"/>
          <w:b/>
          <w:sz w:val="20"/>
          <w:szCs w:val="20"/>
        </w:rPr>
      </w:pPr>
    </w:p>
    <w:p w:rsidR="00854E09" w:rsidRDefault="00854E09" w:rsidP="00854E09">
      <w:pPr>
        <w:rPr>
          <w:rFonts w:ascii="Arial" w:eastAsia="Times New Roman" w:hAnsi="Arial" w:cs="Arial"/>
          <w:b/>
          <w:sz w:val="20"/>
          <w:szCs w:val="20"/>
        </w:rPr>
      </w:pPr>
      <w:r w:rsidRPr="008A22F9">
        <w:rPr>
          <w:rFonts w:ascii="Arial" w:eastAsia="Times New Roman" w:hAnsi="Arial" w:cs="Arial"/>
          <w:b/>
          <w:sz w:val="20"/>
          <w:szCs w:val="20"/>
        </w:rPr>
        <w:t xml:space="preserve">Oral </w:t>
      </w:r>
      <w:r w:rsidR="009B646C">
        <w:rPr>
          <w:rFonts w:ascii="Arial" w:eastAsia="Times New Roman" w:hAnsi="Arial" w:cs="Arial"/>
          <w:b/>
          <w:sz w:val="20"/>
          <w:szCs w:val="20"/>
        </w:rPr>
        <w:t>Discussion</w:t>
      </w:r>
    </w:p>
    <w:p w:rsidR="00854E09" w:rsidRDefault="00DB1D14" w:rsidP="00854E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Can I understand the problem and recommendation?</w:t>
      </w:r>
    </w:p>
    <w:p w:rsidR="00573AED" w:rsidRDefault="00DB1D1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Good use of visuals?</w:t>
      </w:r>
    </w:p>
    <w:p w:rsidR="00414E77" w:rsidRDefault="00414E77">
      <w:pPr>
        <w:rPr>
          <w:rFonts w:ascii="Arial" w:eastAsia="Times New Roman" w:hAnsi="Arial" w:cs="Arial"/>
          <w:sz w:val="20"/>
          <w:szCs w:val="20"/>
        </w:rPr>
      </w:pPr>
    </w:p>
    <w:p w:rsidR="00414E77" w:rsidRPr="00414E77" w:rsidRDefault="00414E77" w:rsidP="00414E77">
      <w:pPr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Rebutting</w:t>
      </w:r>
      <w:r w:rsidRPr="00414E77">
        <w:rPr>
          <w:rFonts w:ascii="Calibri" w:eastAsia="Times New Roman" w:hAnsi="Calibri" w:cs="Arial"/>
          <w:b/>
        </w:rPr>
        <w:t xml:space="preserve"> alternate solutions</w:t>
      </w:r>
    </w:p>
    <w:p w:rsidR="00844604" w:rsidRDefault="00844604">
      <w:r w:rsidRPr="006C69A9">
        <w:rPr>
          <w:i/>
        </w:rPr>
        <w:t>Cooper:</w:t>
      </w:r>
      <w:r>
        <w:t xml:space="preserve"> </w:t>
      </w:r>
      <w:r w:rsidR="00F86FD6">
        <w:t xml:space="preserve">First statement is in error since producing all whole tomatoes does not take into account quality points.  </w:t>
      </w:r>
      <w:r w:rsidR="00414E77">
        <w:t xml:space="preserve">Cooper’s calculated profits are in error since </w:t>
      </w:r>
      <w:r>
        <w:t xml:space="preserve">cost of tomatoes </w:t>
      </w:r>
      <w:r w:rsidR="00414E77">
        <w:t>should not affect the decision, because</w:t>
      </w:r>
      <w:r>
        <w:t xml:space="preserve"> they are already purchased</w:t>
      </w:r>
      <w:r w:rsidR="00414E77">
        <w:t>.</w:t>
      </w:r>
    </w:p>
    <w:p w:rsidR="00414E77" w:rsidRPr="00414E77" w:rsidRDefault="00414E77">
      <w:r w:rsidRPr="006C69A9">
        <w:rPr>
          <w:i/>
        </w:rPr>
        <w:t>Myers:</w:t>
      </w:r>
      <w:r>
        <w:t xml:space="preserve"> is also incorrectly considering the cost of the tomatoes.</w:t>
      </w:r>
    </w:p>
    <w:p w:rsidR="00844604" w:rsidRDefault="00844604">
      <w:r w:rsidRPr="006C69A9">
        <w:rPr>
          <w:i/>
        </w:rPr>
        <w:t>Tucker:</w:t>
      </w:r>
      <w:r>
        <w:t xml:space="preserve"> correct reasoning.</w:t>
      </w:r>
    </w:p>
    <w:p w:rsidR="006C69A9" w:rsidRDefault="006C69A9"/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039"/>
        <w:gridCol w:w="1152"/>
        <w:gridCol w:w="1152"/>
        <w:gridCol w:w="1152"/>
        <w:gridCol w:w="1152"/>
        <w:gridCol w:w="1152"/>
        <w:gridCol w:w="1296"/>
        <w:gridCol w:w="1085"/>
      </w:tblGrid>
      <w:tr w:rsidR="00F86FD6" w:rsidRPr="00F86FD6" w:rsidTr="006C69A9">
        <w:tc>
          <w:tcPr>
            <w:tcW w:w="1039" w:type="dxa"/>
          </w:tcPr>
          <w:p w:rsidR="00F86FD6" w:rsidRPr="00F86FD6" w:rsidRDefault="00F86FD6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86FD6" w:rsidRPr="006C69A9" w:rsidRDefault="00F86FD6" w:rsidP="00414E77">
            <w:pPr>
              <w:jc w:val="center"/>
              <w:rPr>
                <w:b/>
                <w:sz w:val="20"/>
                <w:szCs w:val="20"/>
              </w:rPr>
            </w:pPr>
            <w:r w:rsidRPr="006C69A9">
              <w:rPr>
                <w:b/>
                <w:sz w:val="20"/>
                <w:szCs w:val="20"/>
              </w:rPr>
              <w:t>Grade A in WT</w:t>
            </w:r>
          </w:p>
        </w:tc>
        <w:tc>
          <w:tcPr>
            <w:tcW w:w="1152" w:type="dxa"/>
          </w:tcPr>
          <w:p w:rsidR="00F86FD6" w:rsidRPr="006C69A9" w:rsidRDefault="00F86FD6" w:rsidP="00414E77">
            <w:pPr>
              <w:jc w:val="center"/>
              <w:rPr>
                <w:b/>
                <w:sz w:val="20"/>
                <w:szCs w:val="20"/>
              </w:rPr>
            </w:pPr>
            <w:r w:rsidRPr="006C69A9">
              <w:rPr>
                <w:b/>
                <w:sz w:val="20"/>
                <w:szCs w:val="20"/>
              </w:rPr>
              <w:t>Grade B in WT</w:t>
            </w:r>
          </w:p>
        </w:tc>
        <w:tc>
          <w:tcPr>
            <w:tcW w:w="1152" w:type="dxa"/>
          </w:tcPr>
          <w:p w:rsidR="00F86FD6" w:rsidRPr="006C69A9" w:rsidRDefault="00F86FD6" w:rsidP="00414E77">
            <w:pPr>
              <w:jc w:val="center"/>
              <w:rPr>
                <w:b/>
                <w:sz w:val="20"/>
                <w:szCs w:val="20"/>
              </w:rPr>
            </w:pPr>
            <w:r w:rsidRPr="006C69A9">
              <w:rPr>
                <w:b/>
                <w:sz w:val="20"/>
                <w:szCs w:val="20"/>
              </w:rPr>
              <w:t>Grade A in Juice</w:t>
            </w:r>
          </w:p>
        </w:tc>
        <w:tc>
          <w:tcPr>
            <w:tcW w:w="1152" w:type="dxa"/>
          </w:tcPr>
          <w:p w:rsidR="00F86FD6" w:rsidRPr="006C69A9" w:rsidRDefault="00F86FD6" w:rsidP="00414E77">
            <w:pPr>
              <w:jc w:val="center"/>
              <w:rPr>
                <w:b/>
                <w:sz w:val="20"/>
                <w:szCs w:val="20"/>
              </w:rPr>
            </w:pPr>
            <w:r w:rsidRPr="006C69A9">
              <w:rPr>
                <w:b/>
                <w:sz w:val="20"/>
                <w:szCs w:val="20"/>
              </w:rPr>
              <w:t>Grade B in Juice</w:t>
            </w:r>
          </w:p>
        </w:tc>
        <w:tc>
          <w:tcPr>
            <w:tcW w:w="1152" w:type="dxa"/>
          </w:tcPr>
          <w:p w:rsidR="00F86FD6" w:rsidRPr="006C69A9" w:rsidRDefault="00F86FD6" w:rsidP="00414E77">
            <w:pPr>
              <w:jc w:val="center"/>
              <w:rPr>
                <w:b/>
                <w:sz w:val="20"/>
                <w:szCs w:val="20"/>
              </w:rPr>
            </w:pPr>
            <w:r w:rsidRPr="006C69A9">
              <w:rPr>
                <w:b/>
                <w:sz w:val="20"/>
                <w:szCs w:val="20"/>
              </w:rPr>
              <w:t>Grade A in Paste</w:t>
            </w:r>
          </w:p>
        </w:tc>
        <w:tc>
          <w:tcPr>
            <w:tcW w:w="1296" w:type="dxa"/>
          </w:tcPr>
          <w:p w:rsidR="00F86FD6" w:rsidRPr="006C69A9" w:rsidRDefault="00F86FD6" w:rsidP="00414E77">
            <w:pPr>
              <w:jc w:val="center"/>
              <w:rPr>
                <w:b/>
                <w:sz w:val="20"/>
                <w:szCs w:val="20"/>
              </w:rPr>
            </w:pPr>
            <w:r w:rsidRPr="006C69A9">
              <w:rPr>
                <w:b/>
                <w:sz w:val="20"/>
                <w:szCs w:val="20"/>
              </w:rPr>
              <w:t>Grade B in Paste</w:t>
            </w:r>
          </w:p>
        </w:tc>
        <w:tc>
          <w:tcPr>
            <w:tcW w:w="1085" w:type="dxa"/>
          </w:tcPr>
          <w:p w:rsidR="00F86FD6" w:rsidRPr="006C69A9" w:rsidRDefault="00F86FD6" w:rsidP="00414E77">
            <w:pPr>
              <w:jc w:val="center"/>
              <w:rPr>
                <w:b/>
                <w:sz w:val="20"/>
                <w:szCs w:val="20"/>
              </w:rPr>
            </w:pPr>
            <w:r w:rsidRPr="006C69A9">
              <w:rPr>
                <w:b/>
                <w:sz w:val="20"/>
                <w:szCs w:val="20"/>
              </w:rPr>
              <w:t>Profit</w:t>
            </w:r>
          </w:p>
        </w:tc>
      </w:tr>
      <w:tr w:rsidR="00414E77" w:rsidRPr="00F86FD6" w:rsidTr="006C69A9">
        <w:tc>
          <w:tcPr>
            <w:tcW w:w="1039" w:type="dxa"/>
          </w:tcPr>
          <w:p w:rsidR="00414E77" w:rsidRPr="00F86FD6" w:rsidRDefault="00414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Cooper</w:t>
            </w:r>
          </w:p>
        </w:tc>
        <w:tc>
          <w:tcPr>
            <w:tcW w:w="1152" w:type="dxa"/>
          </w:tcPr>
          <w:p w:rsidR="00414E77" w:rsidRPr="00F86FD6" w:rsidRDefault="00414E77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</w:t>
            </w:r>
          </w:p>
        </w:tc>
        <w:tc>
          <w:tcPr>
            <w:tcW w:w="1152" w:type="dxa"/>
          </w:tcPr>
          <w:p w:rsidR="00414E77" w:rsidRPr="00F86FD6" w:rsidRDefault="00414E77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2,400,000</w:t>
            </w:r>
          </w:p>
        </w:tc>
        <w:tc>
          <w:tcPr>
            <w:tcW w:w="1152" w:type="dxa"/>
          </w:tcPr>
          <w:p w:rsidR="00414E77" w:rsidRDefault="00414E77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14E77" w:rsidRDefault="00414E77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14E77" w:rsidRPr="00F86FD6" w:rsidRDefault="00414E77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414E77" w:rsidRPr="00F86FD6" w:rsidRDefault="00414E77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414E77" w:rsidRDefault="00414E77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Infeasible</w:t>
            </w:r>
          </w:p>
        </w:tc>
      </w:tr>
      <w:tr w:rsidR="00F86FD6" w:rsidRPr="00F86FD6" w:rsidTr="006C69A9">
        <w:tc>
          <w:tcPr>
            <w:tcW w:w="1039" w:type="dxa"/>
          </w:tcPr>
          <w:p w:rsidR="00F86FD6" w:rsidRPr="00F86FD6" w:rsidRDefault="00F86FD6">
            <w:pPr>
              <w:rPr>
                <w:sz w:val="20"/>
                <w:szCs w:val="20"/>
              </w:rPr>
            </w:pPr>
            <w:r w:rsidRPr="00F86FD6">
              <w:rPr>
                <w:sz w:val="20"/>
                <w:szCs w:val="20"/>
              </w:rPr>
              <w:t>Myers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400,000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 w:rsidRPr="00F86FD6">
              <w:rPr>
                <w:sz w:val="20"/>
                <w:szCs w:val="20"/>
              </w:rPr>
              <w:t>2,000,000</w:t>
            </w:r>
          </w:p>
        </w:tc>
        <w:tc>
          <w:tcPr>
            <w:tcW w:w="1085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616,000</w:t>
            </w:r>
          </w:p>
        </w:tc>
      </w:tr>
      <w:tr w:rsidR="00F86FD6" w:rsidRPr="00F86FD6" w:rsidTr="006C69A9">
        <w:tc>
          <w:tcPr>
            <w:tcW w:w="1039" w:type="dxa"/>
          </w:tcPr>
          <w:p w:rsidR="00F86FD6" w:rsidRPr="00F86FD6" w:rsidRDefault="00F86F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525000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175000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</w:t>
            </w:r>
          </w:p>
        </w:tc>
        <w:tc>
          <w:tcPr>
            <w:tcW w:w="1152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2,000,000</w:t>
            </w:r>
          </w:p>
        </w:tc>
        <w:tc>
          <w:tcPr>
            <w:tcW w:w="1085" w:type="dxa"/>
          </w:tcPr>
          <w:p w:rsidR="00F86FD6" w:rsidRPr="00F86FD6" w:rsidRDefault="00F86FD6" w:rsidP="006C69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675,000</w:t>
            </w:r>
          </w:p>
        </w:tc>
      </w:tr>
    </w:tbl>
    <w:p w:rsidR="00844604" w:rsidRPr="00F86FD6" w:rsidRDefault="00844604">
      <w:pPr>
        <w:rPr>
          <w:sz w:val="20"/>
          <w:szCs w:val="20"/>
        </w:rPr>
      </w:pPr>
    </w:p>
    <w:sectPr w:rsidR="00844604" w:rsidRPr="00F86FD6" w:rsidSect="00414E77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FD1"/>
    <w:multiLevelType w:val="hybridMultilevel"/>
    <w:tmpl w:val="8E56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6049A8"/>
    <w:multiLevelType w:val="hybridMultilevel"/>
    <w:tmpl w:val="10981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5474B9"/>
    <w:multiLevelType w:val="hybridMultilevel"/>
    <w:tmpl w:val="7144C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73A2"/>
    <w:rsid w:val="0006513F"/>
    <w:rsid w:val="000E601C"/>
    <w:rsid w:val="001153BC"/>
    <w:rsid w:val="0027591D"/>
    <w:rsid w:val="00335F3A"/>
    <w:rsid w:val="003F0BEA"/>
    <w:rsid w:val="00414E77"/>
    <w:rsid w:val="00533742"/>
    <w:rsid w:val="00573AED"/>
    <w:rsid w:val="00574AA7"/>
    <w:rsid w:val="00575A60"/>
    <w:rsid w:val="00602284"/>
    <w:rsid w:val="006A2614"/>
    <w:rsid w:val="006C69A9"/>
    <w:rsid w:val="007216C1"/>
    <w:rsid w:val="00803044"/>
    <w:rsid w:val="00844604"/>
    <w:rsid w:val="00854E09"/>
    <w:rsid w:val="008A22F9"/>
    <w:rsid w:val="009B646C"/>
    <w:rsid w:val="00A126F1"/>
    <w:rsid w:val="00A273A2"/>
    <w:rsid w:val="00A433A4"/>
    <w:rsid w:val="00A750C4"/>
    <w:rsid w:val="00AD3D78"/>
    <w:rsid w:val="00B230B9"/>
    <w:rsid w:val="00B62EF4"/>
    <w:rsid w:val="00C6519C"/>
    <w:rsid w:val="00C776F8"/>
    <w:rsid w:val="00CE248C"/>
    <w:rsid w:val="00D04C46"/>
    <w:rsid w:val="00D33E73"/>
    <w:rsid w:val="00DB1D14"/>
    <w:rsid w:val="00E35FC5"/>
    <w:rsid w:val="00E562F3"/>
    <w:rsid w:val="00E665F9"/>
    <w:rsid w:val="00EB2E10"/>
    <w:rsid w:val="00F66E14"/>
    <w:rsid w:val="00F86FD6"/>
    <w:rsid w:val="00FA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3A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E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4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12</cp:revision>
  <dcterms:created xsi:type="dcterms:W3CDTF">2008-10-18T14:08:00Z</dcterms:created>
  <dcterms:modified xsi:type="dcterms:W3CDTF">2008-10-24T01:07:00Z</dcterms:modified>
</cp:coreProperties>
</file>